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095" w14:paraId="55539335" w14:textId="77777777" w:rsidTr="005A00B1">
        <w:trPr>
          <w:trHeight w:val="1279"/>
        </w:trPr>
        <w:tc>
          <w:tcPr>
            <w:tcW w:w="8494" w:type="dxa"/>
            <w:shd w:val="clear" w:color="auto" w:fill="DAEEF3" w:themeFill="accent5" w:themeFillTint="33"/>
          </w:tcPr>
          <w:p w14:paraId="28CB8441" w14:textId="77777777" w:rsidR="008C1095" w:rsidRDefault="008C1095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3D2F35C7" w14:textId="6F7450C1" w:rsidR="008C1095" w:rsidRDefault="62E0B06C" w:rsidP="1EB97EAC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  <w:bCs/>
              </w:rPr>
            </w:pPr>
            <w:r w:rsidRPr="1EB97EAC">
              <w:rPr>
                <w:rFonts w:ascii="Arial" w:hAnsi="Arial" w:cs="Arial"/>
                <w:b/>
                <w:bCs/>
              </w:rPr>
              <w:t>G</w:t>
            </w:r>
            <w:r w:rsidR="00225DA9" w:rsidRPr="1EB97EAC">
              <w:rPr>
                <w:rFonts w:ascii="Arial" w:hAnsi="Arial" w:cs="Arial"/>
                <w:b/>
                <w:bCs/>
              </w:rPr>
              <w:t>A</w:t>
            </w:r>
            <w:r w:rsidRPr="1EB97EAC">
              <w:rPr>
                <w:rFonts w:ascii="Arial" w:hAnsi="Arial" w:cs="Arial"/>
                <w:b/>
                <w:bCs/>
              </w:rPr>
              <w:t>ZTEMUNDU PROGRAMA</w:t>
            </w:r>
            <w:r w:rsidR="00225DA9" w:rsidRPr="1EB97EAC">
              <w:rPr>
                <w:rFonts w:ascii="Arial" w:hAnsi="Arial" w:cs="Arial"/>
                <w:b/>
                <w:bCs/>
              </w:rPr>
              <w:t xml:space="preserve"> ARAUTZEN DUEN DEKRETU-PROIEKTUA EGIN AURREKO KONTSULTA PUBLIKOA</w:t>
            </w:r>
          </w:p>
          <w:p w14:paraId="215F051B" w14:textId="40D4C24F" w:rsidR="008C1095" w:rsidRDefault="008C1095">
            <w:pPr>
              <w:spacing w:before="100" w:beforeAutospacing="1" w:after="100" w:afterAutospacing="1" w:line="23" w:lineRule="atLeast"/>
              <w:jc w:val="center"/>
            </w:pPr>
          </w:p>
        </w:tc>
      </w:tr>
    </w:tbl>
    <w:p w14:paraId="7A6C4B0E" w14:textId="6BFE70B8" w:rsidR="1EB97EAC" w:rsidRDefault="00225DA9" w:rsidP="005A00B1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1EB97EAC">
        <w:rPr>
          <w:rFonts w:ascii="Arial" w:eastAsia="Times New Roman" w:hAnsi="Arial" w:cs="Arial"/>
          <w:color w:val="auto"/>
          <w:sz w:val="20"/>
          <w:szCs w:val="20"/>
        </w:rPr>
        <w:t>Administrazio Publikoen Administrazio Prozedura Erkidearen urriaren 1eko 39/2015 Legearen 133.1 artikuluan aurreikusitakoa betez, aurretiazko kontsulta honen helburua da etorkizuneko arauak uki ditzakeen pertsona eta erakunde adierazgarrienen iritzia jasotzea honako hauei buruz:</w:t>
      </w:r>
    </w:p>
    <w:p w14:paraId="5F52CE3C" w14:textId="77777777" w:rsidR="008C1095" w:rsidRDefault="00225DA9" w:rsidP="005A00B1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Ekimenarekin konpondu nahi diren arazoak</w:t>
      </w:r>
    </w:p>
    <w:p w14:paraId="06BEB1D6" w14:textId="77777777" w:rsidR="008C1095" w:rsidRDefault="00225DA9" w:rsidP="005A00B1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Onartzeko beharra eta egokitasuna</w:t>
      </w:r>
    </w:p>
    <w:p w14:paraId="5CB910A5" w14:textId="77777777" w:rsidR="008C1095" w:rsidRDefault="00225DA9" w:rsidP="005A00B1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Arauaren helburua</w:t>
      </w:r>
    </w:p>
    <w:p w14:paraId="6CDDF595" w14:textId="472D88A8" w:rsidR="1EB97EAC" w:rsidRDefault="00225DA9" w:rsidP="005A00B1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1EB97EAC">
        <w:rPr>
          <w:rFonts w:ascii="Arial" w:eastAsia="Times New Roman" w:hAnsi="Arial" w:cs="Arial"/>
          <w:color w:val="auto"/>
          <w:sz w:val="20"/>
          <w:szCs w:val="20"/>
        </w:rPr>
        <w:t>• Izan daitezkeen bestelako aukera erregulatzaileak eta ez-erregulatzaileak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2122"/>
        <w:gridCol w:w="6377"/>
      </w:tblGrid>
      <w:tr w:rsidR="008C1095" w14:paraId="1753E562" w14:textId="77777777" w:rsidTr="009114D9">
        <w:trPr>
          <w:trHeight w:val="1591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00549473" w14:textId="77777777" w:rsidR="008C1095" w:rsidRPr="005A00B1" w:rsidRDefault="00225DA9" w:rsidP="009114D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A00B1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  <w:t>Konpondu nahi diren arazoak</w:t>
            </w:r>
          </w:p>
        </w:tc>
        <w:tc>
          <w:tcPr>
            <w:tcW w:w="6377" w:type="dxa"/>
            <w:shd w:val="clear" w:color="auto" w:fill="D6E3BC" w:themeFill="accent3" w:themeFillTint="66"/>
          </w:tcPr>
          <w:p w14:paraId="16062915" w14:textId="77777777" w:rsidR="009114D9" w:rsidRDefault="009114D9" w:rsidP="1EB97EAC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1E9D17F5" w14:textId="77777777" w:rsidR="008C1095" w:rsidRDefault="5A60D66C" w:rsidP="005A00B1">
            <w:pPr>
              <w:keepNext/>
              <w:keepLines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Euskal Etxeen etorkizuna bermat</w:t>
            </w:r>
            <w:r w:rsidR="1BBBF13B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 ahal izateko</w:t>
            </w:r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eta zentro horiek Euskadirekiko harremanak eta lotura estutzen jarrai dezaten, arreta berezia jarri behar zaie euskal herritarren ondorengo belaunaldi berriei. </w:t>
            </w:r>
            <w:r w:rsidR="6FC69D13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Ildo horretatik, </w:t>
            </w:r>
            <w:proofErr w:type="spellStart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Gaztemundu</w:t>
            </w:r>
            <w:proofErr w:type="spellEnd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programaren helburua gazte horiek Euskal Etxeetan </w:t>
            </w:r>
            <w:proofErr w:type="spellStart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aktiboki</w:t>
            </w:r>
            <w:proofErr w:type="spellEnd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parte har dezaten sustatzea da</w:t>
            </w:r>
            <w:r w:rsidRPr="009114D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80DDFEB" w14:textId="1386349D" w:rsidR="005A00B1" w:rsidRDefault="005A00B1" w:rsidP="1EB97EAC">
            <w:pPr>
              <w:pStyle w:val="Default"/>
              <w:spacing w:line="276" w:lineRule="auto"/>
              <w:jc w:val="both"/>
            </w:pPr>
          </w:p>
        </w:tc>
      </w:tr>
      <w:tr w:rsidR="008C1095" w14:paraId="032CBB2A" w14:textId="77777777" w:rsidTr="009114D9">
        <w:trPr>
          <w:trHeight w:val="1003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08939E1F" w14:textId="77777777" w:rsidR="008C1095" w:rsidRPr="005A00B1" w:rsidRDefault="00225DA9" w:rsidP="009114D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A00B1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  <w:t>Onartzeko beharra eta egokitasuna</w:t>
            </w:r>
          </w:p>
        </w:tc>
        <w:tc>
          <w:tcPr>
            <w:tcW w:w="6377" w:type="dxa"/>
            <w:shd w:val="clear" w:color="auto" w:fill="D6E3BC" w:themeFill="accent3" w:themeFillTint="66"/>
          </w:tcPr>
          <w:p w14:paraId="781D2514" w14:textId="47739E8B" w:rsidR="008C1095" w:rsidRDefault="008C1095" w:rsidP="1EB97EAC">
            <w:pPr>
              <w:keepNext/>
              <w:keepLines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04C0A7D" w14:textId="615609FF" w:rsidR="008C1095" w:rsidRDefault="4BE6AB51" w:rsidP="1EB97EAC">
            <w:pPr>
              <w:keepNext/>
              <w:keepLines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Gaztemundu</w:t>
            </w:r>
            <w:proofErr w:type="spellEnd"/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18 eta 35 urte bitarteko gazteei zuzendutako 20 urte</w:t>
            </w:r>
            <w:r w:rsidR="7FB7E057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tik gorako</w:t>
            </w:r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ibilbidea duen formazio programa da. Martxan jarri zenetik 750 gazte bai</w:t>
            </w:r>
            <w:r w:rsidR="7391EFB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</w:t>
            </w:r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o gehiagoren parte hartzea </w:t>
            </w:r>
            <w:r w:rsidR="2C5470A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izan du. </w:t>
            </w:r>
          </w:p>
          <w:p w14:paraId="3CCA56D3" w14:textId="77777777" w:rsidR="009114D9" w:rsidRDefault="009114D9" w:rsidP="1EB97EAC">
            <w:pPr>
              <w:keepNext/>
              <w:keepLines/>
              <w:jc w:val="both"/>
            </w:pPr>
          </w:p>
          <w:p w14:paraId="202C65AC" w14:textId="77777777" w:rsidR="008C1095" w:rsidRDefault="07F6827E" w:rsidP="1EB97EAC">
            <w:pPr>
              <w:keepNext/>
              <w:keepLines/>
              <w:jc w:val="both"/>
            </w:pPr>
            <w:r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Orain arte, p</w:t>
            </w:r>
            <w:r w:rsidR="2C5470A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rograma abendu</w:t>
            </w:r>
            <w:r w:rsidR="467EC720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</w:t>
            </w:r>
            <w:r w:rsidR="2C5470A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ren 23ko 316/2003 Dekretuaren babesean antolatu da baina, h</w:t>
            </w:r>
            <w:r w:rsidR="6F499B4F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</w:t>
            </w:r>
            <w:r w:rsidR="059A449A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inbat hamarkada</w:t>
            </w:r>
            <w:r w:rsidR="440FA627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igaro</w:t>
            </w:r>
            <w:r w:rsidR="059A449A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ondoren</w:t>
            </w:r>
            <w:r w:rsidR="2C5470A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beh</w:t>
            </w:r>
            <w:r w:rsidR="40F0C741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</w:t>
            </w:r>
            <w:r w:rsidR="2C5470AC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rrezkoa </w:t>
            </w:r>
            <w:r w:rsidR="14C3AF46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da </w:t>
            </w:r>
            <w:r w:rsidR="1631C3D4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Dekretu </w:t>
            </w:r>
            <w:r w:rsidR="14C3AF46" w:rsidRPr="1EB97E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berri bat onartzea programa egungo araudira eta beharrizanetara egokitzeko.</w:t>
            </w:r>
            <w:r w:rsidR="14C3AF46" w:rsidRPr="1EB97EAC">
              <w:t xml:space="preserve"> </w:t>
            </w:r>
          </w:p>
          <w:p w14:paraId="1DCE01EE" w14:textId="2EB63C19" w:rsidR="009114D9" w:rsidRDefault="009114D9" w:rsidP="1EB97EAC">
            <w:pPr>
              <w:keepNext/>
              <w:keepLines/>
              <w:jc w:val="both"/>
            </w:pPr>
          </w:p>
        </w:tc>
      </w:tr>
      <w:tr w:rsidR="008C1095" w14:paraId="5FBDF947" w14:textId="77777777" w:rsidTr="009114D9">
        <w:trPr>
          <w:trHeight w:val="2380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6614FA78" w14:textId="77777777" w:rsidR="008C1095" w:rsidRPr="005A00B1" w:rsidRDefault="00225DA9" w:rsidP="009114D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5A00B1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  <w:t>Arauaren helburuak</w:t>
            </w:r>
          </w:p>
        </w:tc>
        <w:tc>
          <w:tcPr>
            <w:tcW w:w="6377" w:type="dxa"/>
            <w:shd w:val="clear" w:color="auto" w:fill="D6E3BC" w:themeFill="accent3" w:themeFillTint="66"/>
          </w:tcPr>
          <w:p w14:paraId="3DE2DAEF" w14:textId="649C0E19" w:rsidR="0034344B" w:rsidRDefault="0034344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E19C032" w14:textId="28E7DBCA" w:rsidR="008C1095" w:rsidRDefault="1E92C2C5" w:rsidP="1EB97EAC">
            <w:pPr>
              <w:spacing w:after="200" w:line="276" w:lineRule="auto"/>
              <w:jc w:val="both"/>
            </w:pP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Proiektatutako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xedapen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orokorrak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bi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helburu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nagusi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ditu</w:t>
            </w:r>
            <w:proofErr w:type="spellEnd"/>
            <w:r w:rsidRPr="1EB97E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:</w:t>
            </w:r>
          </w:p>
          <w:p w14:paraId="748310CD" w14:textId="63288B25" w:rsidR="009114D9" w:rsidRDefault="1E92C2C5" w:rsidP="1EB97EAC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114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Euskal Etxeetako gazteek gaur egungo Euskadiri buruzko heziketa eta jakintza zabalagoa izatea, eta Euskadin lan egiten duten eta bizi diren elkarte, erakunde, enpresa eta pertsonekin harremanak izatea.</w:t>
            </w:r>
          </w:p>
          <w:p w14:paraId="256F0241" w14:textId="77777777" w:rsidR="009114D9" w:rsidRDefault="009114D9" w:rsidP="009114D9">
            <w:pPr>
              <w:pStyle w:val="Zerrenda-paragrafoa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7B4F01" w14:textId="77777777" w:rsidR="008C1095" w:rsidRDefault="1E92C2C5" w:rsidP="1EB97EAC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114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Euskadin bizi diren euskal gazteen eta kanpoan bizi direnen arteko harremanetarako guneak sustatzea, eta kanpoan bizi diren euskal gazteak Euskal Etxeetan parte hartzera bultzatzea.</w:t>
            </w:r>
            <w:bookmarkStart w:id="0" w:name="_GoBack"/>
            <w:bookmarkEnd w:id="0"/>
          </w:p>
          <w:p w14:paraId="6402EFFF" w14:textId="62E104A0" w:rsidR="005A00B1" w:rsidRPr="009114D9" w:rsidRDefault="005A00B1" w:rsidP="005A00B1">
            <w:pPr>
              <w:pStyle w:val="Zerrenda-paragrafoa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1095" w14:paraId="55F5EBAD" w14:textId="77777777" w:rsidTr="009114D9">
        <w:trPr>
          <w:trHeight w:val="1376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16110B5C" w14:textId="77777777" w:rsidR="008C1095" w:rsidRPr="005A00B1" w:rsidRDefault="00225DA9" w:rsidP="009114D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A00B1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  <w:t>Izan daitezkeen bestelako aukera erregulatzaileak eta ez-erregulatzaileak</w:t>
            </w:r>
          </w:p>
        </w:tc>
        <w:tc>
          <w:tcPr>
            <w:tcW w:w="6377" w:type="dxa"/>
            <w:shd w:val="clear" w:color="auto" w:fill="D6E3BC" w:themeFill="accent3" w:themeFillTint="66"/>
          </w:tcPr>
          <w:p w14:paraId="0B21B4DF" w14:textId="1B9DA27A" w:rsidR="008C1095" w:rsidRDefault="008C1095" w:rsidP="1EB97EAC">
            <w:pPr>
              <w:pStyle w:val="Default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6D97A3E8" w14:textId="08A1458F" w:rsidR="008C1095" w:rsidRPr="005A00B1" w:rsidRDefault="008C1095" w:rsidP="1EB97EAC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698FC27" w14:textId="3A7C8CC4" w:rsidR="008C1095" w:rsidRPr="005A00B1" w:rsidRDefault="787FD2DF" w:rsidP="1EB97EAC">
            <w:pPr>
              <w:pStyle w:val="Default"/>
              <w:spacing w:line="276" w:lineRule="auto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Xeda</w:t>
            </w:r>
            <w:r w:rsidR="4C62DA0F"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</w:t>
            </w:r>
            <w:r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en arauemaile bat egitea </w:t>
            </w:r>
            <w:r w:rsidR="468075CD"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ezinbestekoa </w:t>
            </w:r>
            <w:r w:rsid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 eta ez da bestelako irtenbide</w:t>
            </w:r>
            <w:r w:rsidR="188FC296"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rik </w:t>
            </w:r>
            <w:r w:rsidR="468075CD" w:rsidRPr="005A00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aurreikusi. </w:t>
            </w:r>
          </w:p>
          <w:p w14:paraId="03E727FE" w14:textId="3BB51E78" w:rsidR="008C1095" w:rsidRDefault="008C1095" w:rsidP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1A652D44" w14:textId="6647514E" w:rsidR="008C1095" w:rsidRDefault="008C1095" w:rsidP="005A00B1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8C1095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1A77" w14:textId="77777777" w:rsidR="00472515" w:rsidRDefault="00472515">
      <w:pPr>
        <w:spacing w:after="0" w:line="240" w:lineRule="auto"/>
      </w:pPr>
      <w:r>
        <w:separator/>
      </w:r>
    </w:p>
  </w:endnote>
  <w:endnote w:type="continuationSeparator" w:id="0">
    <w:p w14:paraId="3F787CF6" w14:textId="77777777" w:rsidR="00472515" w:rsidRDefault="0047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76F49E34" w:rsidR="008C1095" w:rsidRDefault="00225DA9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B1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C1095" w:rsidRDefault="008C109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B916" w14:textId="77777777" w:rsidR="00472515" w:rsidRDefault="00472515">
      <w:pPr>
        <w:spacing w:after="0" w:line="240" w:lineRule="auto"/>
      </w:pPr>
      <w:r>
        <w:separator/>
      </w:r>
    </w:p>
  </w:footnote>
  <w:footnote w:type="continuationSeparator" w:id="0">
    <w:p w14:paraId="0CD37B95" w14:textId="77777777" w:rsidR="00472515" w:rsidRDefault="0047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8C1095" w:rsidRDefault="00225DA9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ed="t">
          <v:fill color2="black"/>
          <v:imagedata r:id="rId1" o:title=""/>
        </v:shape>
        <o:OLEObject Type="Embed" ProgID="Imagen" ShapeID="_x0000_i1025" DrawAspect="Content" ObjectID="_1740379057" r:id="rId2"/>
      </w:object>
    </w:r>
  </w:p>
  <w:p w14:paraId="52B17F4D" w14:textId="77777777" w:rsidR="008C1095" w:rsidRDefault="008C1095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8C1095" w:rsidRDefault="00225DA9">
    <w:pPr>
      <w:pStyle w:val="Goiburua"/>
      <w:jc w:val="center"/>
    </w:pPr>
    <w:r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8C1095" w:rsidRDefault="008C109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8187D"/>
    <w:multiLevelType w:val="hybridMultilevel"/>
    <w:tmpl w:val="C890F51C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15E4A"/>
    <w:rsid w:val="0012092F"/>
    <w:rsid w:val="001278BF"/>
    <w:rsid w:val="00134028"/>
    <w:rsid w:val="001417DE"/>
    <w:rsid w:val="00156818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F5C15"/>
    <w:rsid w:val="001F7723"/>
    <w:rsid w:val="002050C5"/>
    <w:rsid w:val="00207EDF"/>
    <w:rsid w:val="00225DA9"/>
    <w:rsid w:val="00226A44"/>
    <w:rsid w:val="00237C97"/>
    <w:rsid w:val="0025576C"/>
    <w:rsid w:val="0026228C"/>
    <w:rsid w:val="0026764F"/>
    <w:rsid w:val="0026781D"/>
    <w:rsid w:val="00285147"/>
    <w:rsid w:val="002A0B87"/>
    <w:rsid w:val="002A1248"/>
    <w:rsid w:val="002B7CD5"/>
    <w:rsid w:val="002C632D"/>
    <w:rsid w:val="002D2675"/>
    <w:rsid w:val="00310CFB"/>
    <w:rsid w:val="003264F8"/>
    <w:rsid w:val="0034344B"/>
    <w:rsid w:val="00351A1E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72515"/>
    <w:rsid w:val="004B5349"/>
    <w:rsid w:val="004C06EE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A00B1"/>
    <w:rsid w:val="005B5275"/>
    <w:rsid w:val="005E4F35"/>
    <w:rsid w:val="005F172F"/>
    <w:rsid w:val="005F2904"/>
    <w:rsid w:val="006156B7"/>
    <w:rsid w:val="00632CD2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435B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095"/>
    <w:rsid w:val="008C1F61"/>
    <w:rsid w:val="008D6281"/>
    <w:rsid w:val="009114D9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14689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B13EFD"/>
    <w:rsid w:val="00B235F6"/>
    <w:rsid w:val="00B60F48"/>
    <w:rsid w:val="00B7426C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2692"/>
    <w:rsid w:val="00E22B43"/>
    <w:rsid w:val="00E35CE2"/>
    <w:rsid w:val="00E4378F"/>
    <w:rsid w:val="00E43B09"/>
    <w:rsid w:val="00E87B20"/>
    <w:rsid w:val="00EA1E3A"/>
    <w:rsid w:val="00ED4BAC"/>
    <w:rsid w:val="00F00C59"/>
    <w:rsid w:val="00F0152F"/>
    <w:rsid w:val="00F109C3"/>
    <w:rsid w:val="00F24A3C"/>
    <w:rsid w:val="00F51DA6"/>
    <w:rsid w:val="00F56DD4"/>
    <w:rsid w:val="00F74F03"/>
    <w:rsid w:val="00F7522A"/>
    <w:rsid w:val="00F87B7C"/>
    <w:rsid w:val="00F947E8"/>
    <w:rsid w:val="00FE2565"/>
    <w:rsid w:val="00FE7175"/>
    <w:rsid w:val="049B278A"/>
    <w:rsid w:val="059A449A"/>
    <w:rsid w:val="06B85633"/>
    <w:rsid w:val="0722CD58"/>
    <w:rsid w:val="07F6827E"/>
    <w:rsid w:val="0A5C29EA"/>
    <w:rsid w:val="0CA6396F"/>
    <w:rsid w:val="14C3AF46"/>
    <w:rsid w:val="15A50E47"/>
    <w:rsid w:val="162E9683"/>
    <w:rsid w:val="1631C3D4"/>
    <w:rsid w:val="188FC296"/>
    <w:rsid w:val="18DCAF09"/>
    <w:rsid w:val="1AC30504"/>
    <w:rsid w:val="1B27C2A2"/>
    <w:rsid w:val="1BBBF13B"/>
    <w:rsid w:val="1C5ED565"/>
    <w:rsid w:val="1E92C2C5"/>
    <w:rsid w:val="1EB97EAC"/>
    <w:rsid w:val="2487979B"/>
    <w:rsid w:val="27E87834"/>
    <w:rsid w:val="2C5470AC"/>
    <w:rsid w:val="2D2387CA"/>
    <w:rsid w:val="2E366767"/>
    <w:rsid w:val="338AB585"/>
    <w:rsid w:val="3959FD64"/>
    <w:rsid w:val="40F0C741"/>
    <w:rsid w:val="41D57ABB"/>
    <w:rsid w:val="440FA627"/>
    <w:rsid w:val="467EC720"/>
    <w:rsid w:val="468075CD"/>
    <w:rsid w:val="48CE080D"/>
    <w:rsid w:val="49E87A26"/>
    <w:rsid w:val="4BE6AB51"/>
    <w:rsid w:val="4C62DA0F"/>
    <w:rsid w:val="559362B8"/>
    <w:rsid w:val="5A60D66C"/>
    <w:rsid w:val="5A66D3DB"/>
    <w:rsid w:val="5B7BE91F"/>
    <w:rsid w:val="62E0B06C"/>
    <w:rsid w:val="69538BEF"/>
    <w:rsid w:val="6A7EF0DE"/>
    <w:rsid w:val="6C03053B"/>
    <w:rsid w:val="6F499B4F"/>
    <w:rsid w:val="6FC69D13"/>
    <w:rsid w:val="7391EFBC"/>
    <w:rsid w:val="787FD2DF"/>
    <w:rsid w:val="79F2FB87"/>
    <w:rsid w:val="7EA75000"/>
    <w:rsid w:val="7F17BB72"/>
    <w:rsid w:val="7FB7E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390a-be3b-46cd-9b88-2591ad4c7779">
      <Terms xmlns="http://schemas.microsoft.com/office/infopath/2007/PartnerControls"/>
    </lcf76f155ced4ddcb4097134ff3c332f>
    <TaxCatchAll xmlns="622679c0-bd55-434f-9177-fd8d9fd00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24C56685077438E0697D951552B91" ma:contentTypeVersion="16" ma:contentTypeDescription="Crear nuevo documento." ma:contentTypeScope="" ma:versionID="ffaf17c0554ab2ebcdedc90710df02ef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39a91588ef28e4635f99f24e7a1fe4ed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a35d34-7de6-4165-ae88-602ad0aa4ae2}" ma:internalName="TaxCatchAll" ma:showField="CatchAllData" ma:web="622679c0-bd55-434f-9177-fd8d9fd0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schemas.microsoft.com/office/2006/metadata/properties"/>
    <ds:schemaRef ds:uri="http://schemas.microsoft.com/office/infopath/2007/PartnerControls"/>
    <ds:schemaRef ds:uri="0d62390a-be3b-46cd-9b88-2591ad4c7779"/>
    <ds:schemaRef ds:uri="622679c0-bd55-434f-9177-fd8d9fd001c3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01C0-D55E-4D7A-A742-8A4717603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2023-03-15T08:34:00Z</dcterms:created>
  <dcterms:modified xsi:type="dcterms:W3CDTF">2023-03-15T08:51:00Z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  <property fmtid="{D5CDD505-2E9C-101B-9397-08002B2CF9AE}" pid="3" name="MediaServiceImageTags">
    <vt:lpwstr/>
  </property>
</Properties>
</file>